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967" w:rsidRDefault="00C51967" w:rsidP="00C51967">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Calibri" w:hAnsi="Calibri" w:cs="Calibri"/>
          <w:b/>
          <w:bCs/>
          <w:color w:val="000000"/>
          <w:sz w:val="28"/>
          <w:szCs w:val="28"/>
        </w:rPr>
        <w:t>Hinweise zur Wahl der Wahlpflichtfächer (WPF)</w:t>
      </w:r>
      <w:r>
        <w:rPr>
          <w:rStyle w:val="eop"/>
          <w:rFonts w:ascii="Calibri" w:hAnsi="Calibri" w:cs="Calibri"/>
          <w:color w:val="000000"/>
          <w:sz w:val="28"/>
          <w:szCs w:val="28"/>
        </w:rPr>
        <w:t> </w:t>
      </w:r>
    </w:p>
    <w:p w:rsidR="00C51967" w:rsidRDefault="00C51967" w:rsidP="00C51967">
      <w:pPr>
        <w:pStyle w:val="paragraph"/>
        <w:spacing w:before="0" w:beforeAutospacing="0" w:after="0" w:afterAutospacing="0"/>
        <w:textAlignment w:val="baseline"/>
        <w:rPr>
          <w:rFonts w:ascii="Segoe UI" w:hAnsi="Segoe UI" w:cs="Segoe UI"/>
          <w:sz w:val="18"/>
          <w:szCs w:val="18"/>
        </w:rPr>
      </w:pPr>
      <w:r>
        <w:rPr>
          <w:rStyle w:val="eop"/>
          <w:rFonts w:ascii="Wingdings" w:hAnsi="Wingdings" w:cs="Segoe UI"/>
          <w:color w:val="000000"/>
        </w:rPr>
        <w:t></w:t>
      </w:r>
    </w:p>
    <w:p w:rsidR="00C51967" w:rsidRDefault="00C51967" w:rsidP="00C51967">
      <w:pPr>
        <w:pStyle w:val="paragraph"/>
        <w:numPr>
          <w:ilvl w:val="0"/>
          <w:numId w:val="1"/>
        </w:numPr>
        <w:spacing w:before="0" w:beforeAutospacing="0" w:after="0" w:afterAutospacing="0"/>
        <w:ind w:left="426" w:hanging="426"/>
        <w:jc w:val="both"/>
        <w:textAlignment w:val="baseline"/>
        <w:rPr>
          <w:rFonts w:ascii="Century Gothic" w:hAnsi="Century Gothic" w:cs="Segoe UI"/>
          <w:sz w:val="22"/>
          <w:szCs w:val="22"/>
        </w:rPr>
      </w:pPr>
      <w:r>
        <w:rPr>
          <w:rStyle w:val="normaltextrun"/>
          <w:rFonts w:ascii="Calibri" w:hAnsi="Calibri" w:cs="Calibri"/>
          <w:b/>
          <w:bCs/>
          <w:color w:val="000000"/>
          <w:sz w:val="22"/>
          <w:szCs w:val="22"/>
        </w:rPr>
        <w:t>Gewählt werden müssen zwei WPF (FOS12) bzw. ein WPF (BOS12), wobei in der FOS12 dabei mindestens ein Fach aus dem Bereich der </w:t>
      </w:r>
      <w:proofErr w:type="spellStart"/>
      <w:r>
        <w:rPr>
          <w:rStyle w:val="normaltextrun"/>
          <w:rFonts w:ascii="Calibri" w:hAnsi="Calibri" w:cs="Calibri"/>
          <w:b/>
          <w:bCs/>
          <w:color w:val="000000"/>
          <w:sz w:val="22"/>
          <w:szCs w:val="22"/>
        </w:rPr>
        <w:t>nc</w:t>
      </w:r>
      <w:proofErr w:type="spellEnd"/>
      <w:r>
        <w:rPr>
          <w:rStyle w:val="normaltextrun"/>
          <w:rFonts w:ascii="Calibri" w:hAnsi="Calibri" w:cs="Calibri"/>
          <w:b/>
          <w:bCs/>
          <w:color w:val="000000"/>
          <w:sz w:val="22"/>
          <w:szCs w:val="22"/>
        </w:rPr>
        <w:t>-fähigen WPF enthalten sein muss. </w:t>
      </w:r>
      <w:r>
        <w:rPr>
          <w:rStyle w:val="eop"/>
          <w:rFonts w:ascii="Calibri" w:hAnsi="Calibri" w:cs="Calibri"/>
          <w:color w:val="000000"/>
          <w:sz w:val="22"/>
          <w:szCs w:val="22"/>
        </w:rPr>
        <w:t> </w:t>
      </w:r>
    </w:p>
    <w:p w:rsidR="00C51967" w:rsidRDefault="00C51967" w:rsidP="00C51967">
      <w:pPr>
        <w:pStyle w:val="paragraph"/>
        <w:spacing w:before="0" w:beforeAutospacing="0" w:after="0" w:afterAutospacing="0"/>
        <w:ind w:left="426" w:hanging="426"/>
        <w:jc w:val="both"/>
        <w:textAlignment w:val="baseline"/>
        <w:rPr>
          <w:rFonts w:ascii="Segoe UI" w:hAnsi="Segoe UI" w:cs="Segoe UI"/>
          <w:sz w:val="18"/>
          <w:szCs w:val="18"/>
        </w:rPr>
      </w:pPr>
      <w:r>
        <w:rPr>
          <w:rStyle w:val="eop"/>
          <w:rFonts w:ascii="Century Gothic" w:hAnsi="Century Gothic" w:cs="Segoe UI"/>
          <w:color w:val="000000"/>
          <w:sz w:val="22"/>
          <w:szCs w:val="22"/>
        </w:rPr>
        <w:t> </w:t>
      </w:r>
    </w:p>
    <w:p w:rsidR="00C51967" w:rsidRDefault="00C51967" w:rsidP="00C51967">
      <w:pPr>
        <w:pStyle w:val="paragraph"/>
        <w:numPr>
          <w:ilvl w:val="0"/>
          <w:numId w:val="2"/>
        </w:numPr>
        <w:spacing w:before="0" w:beforeAutospacing="0" w:after="0" w:afterAutospacing="0"/>
        <w:ind w:left="426" w:hanging="426"/>
        <w:jc w:val="both"/>
        <w:textAlignment w:val="baseline"/>
        <w:rPr>
          <w:rFonts w:ascii="Century Gothic" w:hAnsi="Century Gothic" w:cs="Segoe UI"/>
          <w:sz w:val="22"/>
          <w:szCs w:val="22"/>
        </w:rPr>
      </w:pPr>
      <w:r>
        <w:rPr>
          <w:rStyle w:val="normaltextrun"/>
          <w:rFonts w:ascii="Calibri" w:hAnsi="Calibri" w:cs="Calibri"/>
          <w:b/>
          <w:bCs/>
          <w:color w:val="000000"/>
          <w:sz w:val="22"/>
          <w:szCs w:val="22"/>
        </w:rPr>
        <w:t>Die Wahl der WPF sollte nicht nach dem vermeintlich leichtesten Weg, sondern in erster Linie auf die zukünftigen Studien- bzw. Berufspläne ausgerichtet sein. So könnte z. B. </w:t>
      </w:r>
      <w:r>
        <w:rPr>
          <w:rStyle w:val="normaltextrun"/>
          <w:rFonts w:ascii="Calibri" w:hAnsi="Calibri" w:cs="Calibri"/>
          <w:b/>
          <w:bCs/>
          <w:color w:val="000000"/>
          <w:sz w:val="22"/>
          <w:szCs w:val="22"/>
        </w:rPr>
        <w:br/>
        <w:t xml:space="preserve">eine Schülerin </w:t>
      </w:r>
      <w:r>
        <w:rPr>
          <w:rStyle w:val="normaltextrun"/>
          <w:rFonts w:ascii="Calibri" w:hAnsi="Calibri" w:cs="Calibri"/>
          <w:b/>
          <w:bCs/>
          <w:color w:val="000000"/>
          <w:sz w:val="22"/>
          <w:szCs w:val="22"/>
        </w:rPr>
        <w:t>/ein Schüler der Ausbildungsrichtung Technik, die/der nach der FOSBOS im technischen oder naturwissenschaftlichen Bereich studieren bzw. arbeiten möchte, das profilvertiefende WPF Informatik wählen. Gleiches gilt analog für alle Ausbildungsrichtungen. </w:t>
      </w:r>
      <w:r>
        <w:rPr>
          <w:rStyle w:val="eop"/>
          <w:rFonts w:ascii="Calibri" w:hAnsi="Calibri" w:cs="Calibri"/>
          <w:color w:val="000000"/>
          <w:sz w:val="22"/>
          <w:szCs w:val="22"/>
        </w:rPr>
        <w:t> </w:t>
      </w:r>
    </w:p>
    <w:p w:rsidR="00C51967" w:rsidRDefault="00C51967" w:rsidP="00C51967">
      <w:pPr>
        <w:pStyle w:val="paragraph"/>
        <w:spacing w:before="0" w:beforeAutospacing="0" w:after="0" w:afterAutospacing="0"/>
        <w:ind w:left="426" w:hanging="426"/>
        <w:jc w:val="both"/>
        <w:textAlignment w:val="baseline"/>
        <w:rPr>
          <w:rFonts w:ascii="Segoe UI" w:hAnsi="Segoe UI" w:cs="Segoe UI"/>
          <w:sz w:val="18"/>
          <w:szCs w:val="18"/>
        </w:rPr>
      </w:pPr>
      <w:r>
        <w:rPr>
          <w:rStyle w:val="eop"/>
          <w:rFonts w:ascii="Century Gothic" w:hAnsi="Century Gothic" w:cs="Segoe UI"/>
          <w:color w:val="000000"/>
          <w:sz w:val="22"/>
          <w:szCs w:val="22"/>
        </w:rPr>
        <w:t> </w:t>
      </w:r>
    </w:p>
    <w:p w:rsidR="00C51967" w:rsidRDefault="00C51967" w:rsidP="00C51967">
      <w:pPr>
        <w:pStyle w:val="paragraph"/>
        <w:numPr>
          <w:ilvl w:val="0"/>
          <w:numId w:val="3"/>
        </w:numPr>
        <w:spacing w:before="0" w:beforeAutospacing="0" w:after="0" w:afterAutospacing="0"/>
        <w:ind w:left="426" w:hanging="426"/>
        <w:jc w:val="both"/>
        <w:textAlignment w:val="baseline"/>
        <w:rPr>
          <w:rFonts w:ascii="Century Gothic" w:hAnsi="Century Gothic" w:cs="Segoe UI"/>
          <w:sz w:val="22"/>
          <w:szCs w:val="22"/>
        </w:rPr>
      </w:pPr>
      <w:r>
        <w:rPr>
          <w:rStyle w:val="normaltextrun"/>
          <w:rFonts w:ascii="Calibri" w:hAnsi="Calibri" w:cs="Calibri"/>
          <w:color w:val="000000"/>
          <w:sz w:val="22"/>
          <w:szCs w:val="22"/>
        </w:rPr>
        <w:t>Die endgültige Auswahl der WPF ist bindend. Ein Wechsel oder ein Austritt aus einem WPF während des Schuljahres ist nicht möglich. </w:t>
      </w:r>
      <w:r>
        <w:rPr>
          <w:rStyle w:val="eop"/>
          <w:rFonts w:ascii="Calibri" w:hAnsi="Calibri" w:cs="Calibri"/>
          <w:color w:val="000000"/>
          <w:sz w:val="22"/>
          <w:szCs w:val="22"/>
        </w:rPr>
        <w:t> </w:t>
      </w:r>
    </w:p>
    <w:p w:rsidR="00C51967" w:rsidRDefault="00C51967" w:rsidP="00C51967">
      <w:pPr>
        <w:pStyle w:val="paragraph"/>
        <w:spacing w:before="0" w:beforeAutospacing="0" w:after="0" w:afterAutospacing="0"/>
        <w:ind w:left="426" w:hanging="426"/>
        <w:jc w:val="both"/>
        <w:textAlignment w:val="baseline"/>
        <w:rPr>
          <w:rFonts w:ascii="Segoe UI" w:hAnsi="Segoe UI" w:cs="Segoe UI"/>
          <w:sz w:val="18"/>
          <w:szCs w:val="18"/>
        </w:rPr>
      </w:pPr>
      <w:r>
        <w:rPr>
          <w:rStyle w:val="eop"/>
          <w:rFonts w:ascii="Century Gothic" w:hAnsi="Century Gothic" w:cs="Segoe UI"/>
          <w:color w:val="000000"/>
          <w:sz w:val="22"/>
          <w:szCs w:val="22"/>
        </w:rPr>
        <w:t> </w:t>
      </w:r>
    </w:p>
    <w:p w:rsidR="00C51967" w:rsidRDefault="00C51967" w:rsidP="00C51967">
      <w:pPr>
        <w:pStyle w:val="paragraph"/>
        <w:numPr>
          <w:ilvl w:val="0"/>
          <w:numId w:val="4"/>
        </w:numPr>
        <w:spacing w:before="0" w:beforeAutospacing="0" w:after="0" w:afterAutospacing="0"/>
        <w:ind w:left="426" w:hanging="426"/>
        <w:jc w:val="both"/>
        <w:textAlignment w:val="baseline"/>
        <w:rPr>
          <w:rFonts w:ascii="Century Gothic" w:hAnsi="Century Gothic" w:cs="Segoe UI"/>
          <w:sz w:val="22"/>
          <w:szCs w:val="22"/>
        </w:rPr>
      </w:pPr>
      <w:r>
        <w:rPr>
          <w:rStyle w:val="normaltextrun"/>
          <w:rFonts w:ascii="Calibri" w:hAnsi="Calibri" w:cs="Calibri"/>
          <w:color w:val="000000"/>
          <w:sz w:val="22"/>
          <w:szCs w:val="22"/>
        </w:rPr>
        <w:t>Kurzbeschreibungen zu den einzelnen WPF finden Sie auf den folgenden Seiten</w:t>
      </w:r>
      <w:r>
        <w:rPr>
          <w:rStyle w:val="normaltextrun"/>
          <w:rFonts w:ascii="Century Gothic" w:hAnsi="Century Gothic" w:cs="Segoe UI"/>
          <w:color w:val="000000"/>
          <w:sz w:val="22"/>
          <w:szCs w:val="22"/>
        </w:rPr>
        <w:t>.</w:t>
      </w:r>
      <w:r>
        <w:rPr>
          <w:rStyle w:val="eop"/>
          <w:rFonts w:ascii="Century Gothic" w:hAnsi="Century Gothic" w:cs="Segoe UI"/>
          <w:color w:val="000000"/>
          <w:sz w:val="22"/>
          <w:szCs w:val="22"/>
        </w:rPr>
        <w:t> </w:t>
      </w:r>
    </w:p>
    <w:p w:rsidR="00C51967" w:rsidRDefault="00C51967" w:rsidP="00C51967">
      <w:pPr>
        <w:pStyle w:val="paragraph"/>
        <w:spacing w:before="0" w:beforeAutospacing="0" w:after="0" w:afterAutospacing="0"/>
        <w:ind w:left="426" w:hanging="426"/>
        <w:jc w:val="both"/>
        <w:textAlignment w:val="baseline"/>
        <w:rPr>
          <w:rFonts w:ascii="Segoe UI" w:hAnsi="Segoe UI" w:cs="Segoe UI"/>
          <w:sz w:val="18"/>
          <w:szCs w:val="18"/>
        </w:rPr>
      </w:pPr>
      <w:r>
        <w:rPr>
          <w:rStyle w:val="eop"/>
          <w:rFonts w:ascii="Century Gothic" w:hAnsi="Century Gothic" w:cs="Segoe UI"/>
          <w:color w:val="000000"/>
          <w:sz w:val="22"/>
          <w:szCs w:val="22"/>
        </w:rPr>
        <w:t> </w:t>
      </w:r>
    </w:p>
    <w:p w:rsidR="00C51967" w:rsidRDefault="00C51967" w:rsidP="00C51967">
      <w:pPr>
        <w:pStyle w:val="paragraph"/>
        <w:numPr>
          <w:ilvl w:val="0"/>
          <w:numId w:val="6"/>
        </w:numPr>
        <w:spacing w:before="0" w:beforeAutospacing="0" w:after="0" w:afterAutospacing="0"/>
        <w:ind w:left="426" w:hanging="426"/>
        <w:jc w:val="both"/>
        <w:textAlignment w:val="baseline"/>
        <w:rPr>
          <w:rFonts w:ascii="Century Gothic" w:hAnsi="Century Gothic" w:cs="Segoe UI"/>
          <w:sz w:val="22"/>
          <w:szCs w:val="22"/>
        </w:rPr>
      </w:pPr>
      <w:r>
        <w:rPr>
          <w:rStyle w:val="normaltextrun"/>
          <w:rFonts w:ascii="Calibri" w:hAnsi="Calibri" w:cs="Calibri"/>
          <w:color w:val="000000"/>
          <w:sz w:val="22"/>
          <w:szCs w:val="22"/>
        </w:rPr>
        <w:t>Ein drittes Wahlpflichtfach kann gewählt werden, dies ist aber nicht zwingend erforderlich. Die Wahl eines zusätzlichen WPF sollte wegen des größeren zeitlichen Aufwands im Hinblick auf die persönliche Belastbarkeit sehr gut überlegt sein. </w:t>
      </w:r>
      <w:r>
        <w:rPr>
          <w:rStyle w:val="eop"/>
          <w:rFonts w:ascii="Calibri" w:hAnsi="Calibri" w:cs="Calibri"/>
          <w:color w:val="000000"/>
          <w:sz w:val="22"/>
          <w:szCs w:val="22"/>
        </w:rPr>
        <w:t> </w:t>
      </w:r>
    </w:p>
    <w:p w:rsidR="00C51967" w:rsidRDefault="00C51967" w:rsidP="00C51967">
      <w:pPr>
        <w:pStyle w:val="paragraph"/>
        <w:spacing w:before="0" w:beforeAutospacing="0" w:after="0" w:afterAutospacing="0"/>
        <w:ind w:left="426" w:hanging="426"/>
        <w:jc w:val="both"/>
        <w:textAlignment w:val="baseline"/>
        <w:rPr>
          <w:rFonts w:ascii="Segoe UI" w:hAnsi="Segoe UI" w:cs="Segoe UI"/>
          <w:sz w:val="18"/>
          <w:szCs w:val="18"/>
        </w:rPr>
      </w:pPr>
      <w:r>
        <w:rPr>
          <w:rStyle w:val="eop"/>
          <w:rFonts w:ascii="Century Gothic" w:hAnsi="Century Gothic" w:cs="Segoe UI"/>
          <w:color w:val="000000"/>
          <w:sz w:val="22"/>
          <w:szCs w:val="22"/>
        </w:rPr>
        <w:t> </w:t>
      </w:r>
    </w:p>
    <w:p w:rsidR="00C51967" w:rsidRDefault="00C51967" w:rsidP="00C51967">
      <w:pPr>
        <w:pStyle w:val="paragraph"/>
        <w:numPr>
          <w:ilvl w:val="0"/>
          <w:numId w:val="7"/>
        </w:numPr>
        <w:spacing w:before="0" w:beforeAutospacing="0" w:after="0" w:afterAutospacing="0"/>
        <w:ind w:left="426" w:hanging="426"/>
        <w:jc w:val="both"/>
        <w:textAlignment w:val="baseline"/>
        <w:rPr>
          <w:rFonts w:ascii="Century Gothic" w:hAnsi="Century Gothic" w:cs="Segoe UI"/>
          <w:sz w:val="22"/>
          <w:szCs w:val="22"/>
        </w:rPr>
      </w:pPr>
      <w:r>
        <w:rPr>
          <w:rStyle w:val="normaltextrun"/>
          <w:rFonts w:ascii="Calibri" w:hAnsi="Calibri" w:cs="Calibri"/>
          <w:color w:val="000000"/>
          <w:sz w:val="22"/>
          <w:szCs w:val="22"/>
        </w:rPr>
        <w:t>Wenn Sie ein nicht </w:t>
      </w:r>
      <w:proofErr w:type="spellStart"/>
      <w:r>
        <w:rPr>
          <w:rStyle w:val="normaltextrun"/>
          <w:rFonts w:ascii="Calibri" w:hAnsi="Calibri" w:cs="Calibri"/>
          <w:color w:val="000000"/>
          <w:sz w:val="22"/>
          <w:szCs w:val="22"/>
        </w:rPr>
        <w:t>nc</w:t>
      </w:r>
      <w:proofErr w:type="spellEnd"/>
      <w:r>
        <w:rPr>
          <w:rStyle w:val="normaltextrun"/>
          <w:rFonts w:ascii="Calibri" w:hAnsi="Calibri" w:cs="Calibri"/>
          <w:color w:val="000000"/>
          <w:sz w:val="22"/>
          <w:szCs w:val="22"/>
        </w:rPr>
        <w:t>-fähiges WPF wählen, beachten Sie bitte folgenden Hinweis: Die Wahl zwischen </w:t>
      </w:r>
      <w:proofErr w:type="spellStart"/>
      <w:r>
        <w:rPr>
          <w:rStyle w:val="normaltextrun"/>
          <w:rFonts w:ascii="Calibri" w:hAnsi="Calibri" w:cs="Calibri"/>
          <w:color w:val="000000"/>
          <w:sz w:val="22"/>
          <w:szCs w:val="22"/>
        </w:rPr>
        <w:t>nc</w:t>
      </w:r>
      <w:proofErr w:type="spellEnd"/>
      <w:r>
        <w:rPr>
          <w:rStyle w:val="normaltextrun"/>
          <w:rFonts w:ascii="Calibri" w:hAnsi="Calibri" w:cs="Calibri"/>
          <w:color w:val="000000"/>
          <w:sz w:val="22"/>
          <w:szCs w:val="22"/>
        </w:rPr>
        <w:t>-fähigen und nicht </w:t>
      </w:r>
      <w:proofErr w:type="spellStart"/>
      <w:r>
        <w:rPr>
          <w:rStyle w:val="normaltextrun"/>
          <w:rFonts w:ascii="Calibri" w:hAnsi="Calibri" w:cs="Calibri"/>
          <w:color w:val="000000"/>
          <w:sz w:val="22"/>
          <w:szCs w:val="22"/>
        </w:rPr>
        <w:t>nc</w:t>
      </w:r>
      <w:proofErr w:type="spellEnd"/>
      <w:r>
        <w:rPr>
          <w:rStyle w:val="normaltextrun"/>
          <w:rFonts w:ascii="Calibri" w:hAnsi="Calibri" w:cs="Calibri"/>
          <w:color w:val="000000"/>
          <w:sz w:val="22"/>
          <w:szCs w:val="22"/>
        </w:rPr>
        <w:t>-fähigen WPF beeinflusst die Anzahl der Halbjahresergebnisse, die Sie am Ende der 12. Klasse streichen können. </w:t>
      </w:r>
      <w:r>
        <w:rPr>
          <w:rStyle w:val="eop"/>
          <w:rFonts w:ascii="Calibri" w:hAnsi="Calibri" w:cs="Calibri"/>
          <w:color w:val="000000"/>
          <w:sz w:val="22"/>
          <w:szCs w:val="22"/>
        </w:rPr>
        <w:t> </w:t>
      </w:r>
    </w:p>
    <w:p w:rsidR="00C51967" w:rsidRDefault="00C51967" w:rsidP="00C51967">
      <w:pPr>
        <w:pStyle w:val="paragraph"/>
        <w:spacing w:before="0" w:beforeAutospacing="0" w:after="0" w:afterAutospacing="0"/>
        <w:ind w:left="426" w:hanging="426"/>
        <w:jc w:val="both"/>
        <w:textAlignment w:val="baseline"/>
        <w:rPr>
          <w:rFonts w:ascii="Segoe UI" w:hAnsi="Segoe UI" w:cs="Segoe UI"/>
          <w:sz w:val="18"/>
          <w:szCs w:val="18"/>
        </w:rPr>
      </w:pPr>
      <w:r>
        <w:rPr>
          <w:rStyle w:val="eop"/>
          <w:rFonts w:ascii="Century Gothic" w:hAnsi="Century Gothic" w:cs="Segoe UI"/>
          <w:color w:val="000000"/>
          <w:sz w:val="22"/>
          <w:szCs w:val="22"/>
        </w:rPr>
        <w:t> </w:t>
      </w:r>
    </w:p>
    <w:p w:rsidR="00C51967" w:rsidRPr="00C51967" w:rsidRDefault="00C51967" w:rsidP="00C51967">
      <w:pPr>
        <w:pStyle w:val="paragraph"/>
        <w:numPr>
          <w:ilvl w:val="0"/>
          <w:numId w:val="8"/>
        </w:numPr>
        <w:spacing w:before="0" w:beforeAutospacing="0" w:after="0" w:afterAutospacing="0"/>
        <w:ind w:left="426" w:hanging="426"/>
        <w:jc w:val="both"/>
        <w:textAlignment w:val="baseline"/>
        <w:rPr>
          <w:rStyle w:val="eop"/>
          <w:rFonts w:ascii="Century Gothic" w:hAnsi="Century Gothic" w:cs="Segoe UI"/>
          <w:sz w:val="22"/>
          <w:szCs w:val="22"/>
        </w:rPr>
      </w:pPr>
      <w:r>
        <w:rPr>
          <w:rStyle w:val="normaltextrun"/>
          <w:rFonts w:ascii="Calibri" w:hAnsi="Calibri" w:cs="Calibri"/>
          <w:color w:val="000000"/>
          <w:sz w:val="22"/>
          <w:szCs w:val="22"/>
        </w:rPr>
        <w:t>Sofern Sie eine zweite Fremdsprache als WPF wählen möchten, beachten Sie bitte folgende Hinweise: </w:t>
      </w:r>
      <w:r>
        <w:rPr>
          <w:rStyle w:val="eop"/>
          <w:rFonts w:ascii="Calibri" w:hAnsi="Calibri" w:cs="Calibri"/>
          <w:color w:val="000000"/>
          <w:sz w:val="22"/>
          <w:szCs w:val="22"/>
        </w:rPr>
        <w:t> </w:t>
      </w:r>
    </w:p>
    <w:p w:rsidR="00C51967" w:rsidRDefault="00C51967" w:rsidP="00C51967">
      <w:pPr>
        <w:pStyle w:val="paragraph"/>
        <w:spacing w:before="0" w:beforeAutospacing="0" w:after="0" w:afterAutospacing="0"/>
        <w:ind w:left="426"/>
        <w:jc w:val="both"/>
        <w:textAlignment w:val="baseline"/>
        <w:rPr>
          <w:rFonts w:ascii="Century Gothic" w:hAnsi="Century Gothic" w:cs="Segoe UI"/>
          <w:sz w:val="22"/>
          <w:szCs w:val="22"/>
        </w:rPr>
      </w:pPr>
    </w:p>
    <w:p w:rsidR="00C51967" w:rsidRDefault="00C51967" w:rsidP="00C51967">
      <w:pPr>
        <w:pStyle w:val="paragraph"/>
        <w:numPr>
          <w:ilvl w:val="0"/>
          <w:numId w:val="9"/>
        </w:numPr>
        <w:tabs>
          <w:tab w:val="clear" w:pos="720"/>
        </w:tabs>
        <w:spacing w:before="0" w:beforeAutospacing="0" w:after="0" w:afterAutospacing="0"/>
        <w:ind w:left="851" w:hanging="425"/>
        <w:jc w:val="both"/>
        <w:textAlignment w:val="baseline"/>
        <w:rPr>
          <w:rFonts w:ascii="Century Gothic" w:hAnsi="Century Gothic" w:cs="Segoe UI"/>
          <w:sz w:val="22"/>
          <w:szCs w:val="22"/>
        </w:rPr>
      </w:pPr>
      <w:r>
        <w:rPr>
          <w:rStyle w:val="normaltextrun"/>
          <w:rFonts w:ascii="Calibri" w:hAnsi="Calibri" w:cs="Calibri"/>
          <w:color w:val="000000"/>
          <w:sz w:val="22"/>
          <w:szCs w:val="22"/>
        </w:rPr>
        <w:t>Informieren Sie sich ggf. rechtzeitig, ob Studiengänge, die für Sie interessant sind, die fachgebundene oder allgemeine Hochschulreife voraussetzen. </w:t>
      </w:r>
      <w:r>
        <w:rPr>
          <w:rStyle w:val="normaltextrun"/>
          <w:rFonts w:ascii="Century Gothic" w:hAnsi="Century Gothic" w:cs="Segoe UI"/>
          <w:color w:val="000000"/>
          <w:sz w:val="22"/>
          <w:szCs w:val="22"/>
        </w:rPr>
        <w:t> </w:t>
      </w:r>
      <w:r>
        <w:rPr>
          <w:rStyle w:val="eop"/>
          <w:rFonts w:ascii="Century Gothic" w:hAnsi="Century Gothic" w:cs="Segoe UI"/>
          <w:color w:val="000000"/>
          <w:sz w:val="22"/>
          <w:szCs w:val="22"/>
        </w:rPr>
        <w:t> </w:t>
      </w:r>
    </w:p>
    <w:p w:rsidR="00C51967" w:rsidRDefault="00C51967" w:rsidP="00C51967">
      <w:pPr>
        <w:pStyle w:val="paragraph"/>
        <w:numPr>
          <w:ilvl w:val="0"/>
          <w:numId w:val="9"/>
        </w:numPr>
        <w:tabs>
          <w:tab w:val="clear" w:pos="720"/>
        </w:tabs>
        <w:spacing w:before="0" w:beforeAutospacing="0" w:after="0" w:afterAutospacing="0"/>
        <w:ind w:left="851" w:hanging="425"/>
        <w:jc w:val="both"/>
        <w:textAlignment w:val="baseline"/>
        <w:rPr>
          <w:rFonts w:ascii="Century Gothic" w:hAnsi="Century Gothic" w:cs="Segoe UI"/>
          <w:sz w:val="22"/>
          <w:szCs w:val="22"/>
        </w:rPr>
      </w:pPr>
      <w:r>
        <w:rPr>
          <w:rStyle w:val="normaltextrun"/>
          <w:rFonts w:ascii="Calibri" w:hAnsi="Calibri" w:cs="Calibri"/>
          <w:color w:val="000000"/>
          <w:sz w:val="22"/>
          <w:szCs w:val="22"/>
        </w:rPr>
        <w:t>Wurde eine Fremdsprache bereits </w:t>
      </w:r>
      <w:r>
        <w:rPr>
          <w:rStyle w:val="normaltextrun"/>
          <w:rFonts w:ascii="Calibri" w:hAnsi="Calibri" w:cs="Calibri"/>
          <w:b/>
          <w:bCs/>
          <w:color w:val="000000"/>
          <w:sz w:val="22"/>
          <w:szCs w:val="22"/>
        </w:rPr>
        <w:t>vier</w:t>
      </w:r>
      <w:r>
        <w:rPr>
          <w:rStyle w:val="normaltextrun"/>
          <w:rFonts w:ascii="Calibri" w:hAnsi="Calibri" w:cs="Calibri"/>
          <w:color w:val="000000"/>
          <w:sz w:val="22"/>
          <w:szCs w:val="22"/>
        </w:rPr>
        <w:t> Jahre lang</w:t>
      </w:r>
      <w:r>
        <w:rPr>
          <w:rStyle w:val="normaltextrun"/>
          <w:rFonts w:ascii="Century Gothic" w:hAnsi="Century Gothic" w:cs="Segoe UI"/>
          <w:sz w:val="22"/>
          <w:szCs w:val="22"/>
        </w:rPr>
        <w:t> </w:t>
      </w:r>
      <w:r>
        <w:rPr>
          <w:rStyle w:val="normaltextrun"/>
          <w:rFonts w:ascii="Calibri" w:hAnsi="Calibri" w:cs="Calibri"/>
          <w:sz w:val="22"/>
          <w:szCs w:val="22"/>
        </w:rPr>
        <w:t>im Rahmen des vorrückungserheblichen Unterrichts </w:t>
      </w:r>
      <w:r>
        <w:rPr>
          <w:rStyle w:val="normaltextrun"/>
          <w:rFonts w:ascii="Calibri" w:hAnsi="Calibri" w:cs="Calibri"/>
          <w:color w:val="000000"/>
          <w:sz w:val="22"/>
          <w:szCs w:val="22"/>
        </w:rPr>
        <w:t>z. B. an der Realschule</w:t>
      </w:r>
      <w:r>
        <w:rPr>
          <w:rStyle w:val="normaltextrun"/>
          <w:rFonts w:ascii="Calibri" w:hAnsi="Calibri" w:cs="Calibri"/>
          <w:sz w:val="22"/>
          <w:szCs w:val="22"/>
        </w:rPr>
        <w:t> besucht (Wahlkurse/kürzere Belegung zählen nicht) und mit </w:t>
      </w:r>
      <w:r>
        <w:rPr>
          <w:rStyle w:val="normaltextrun"/>
          <w:rFonts w:ascii="Calibri" w:hAnsi="Calibri" w:cs="Calibri"/>
          <w:b/>
          <w:bCs/>
          <w:sz w:val="22"/>
          <w:szCs w:val="22"/>
        </w:rPr>
        <w:t>Note vier</w:t>
      </w:r>
      <w:r>
        <w:rPr>
          <w:rStyle w:val="normaltextrun"/>
          <w:rFonts w:ascii="Calibri" w:hAnsi="Calibri" w:cs="Calibri"/>
          <w:sz w:val="22"/>
          <w:szCs w:val="22"/>
        </w:rPr>
        <w:t> oder besser (d.h. B1-Niveau) abgeschlossen, so </w:t>
      </w:r>
      <w:r>
        <w:rPr>
          <w:rStyle w:val="normaltextrun"/>
          <w:rFonts w:ascii="Calibri" w:hAnsi="Calibri" w:cs="Calibri"/>
          <w:color w:val="000000"/>
          <w:sz w:val="22"/>
          <w:szCs w:val="22"/>
        </w:rPr>
        <w:t>kann dieses Fach nicht mehr belegt werden. Der entsprechende Nachweis der zweiten Fremdsprache, der vor dem Besuch der FOSBOS erworben wurde, berechtigt zwar zum Erwerb der allgemeinen Hochschulreife, jedoch werden diese Leistungen nicht in den Abiturschnitt eingerechnet. Lediglich Leistungen in der zweiten Fremdsprache, die an der FOSBOS erworben wurden</w:t>
      </w:r>
      <w:r>
        <w:rPr>
          <w:rStyle w:val="normaltextrun"/>
          <w:rFonts w:ascii="Century Gothic" w:hAnsi="Century Gothic" w:cs="Segoe UI"/>
          <w:color w:val="000000"/>
          <w:sz w:val="22"/>
          <w:szCs w:val="22"/>
        </w:rPr>
        <w:t>,</w:t>
      </w:r>
      <w:r>
        <w:rPr>
          <w:rStyle w:val="normaltextrun"/>
          <w:rFonts w:ascii="Calibri" w:hAnsi="Calibri" w:cs="Calibri"/>
          <w:color w:val="000000"/>
          <w:sz w:val="22"/>
          <w:szCs w:val="22"/>
        </w:rPr>
        <w:t> können in den Zeugnisschnitt einfließen. </w:t>
      </w:r>
      <w:r>
        <w:rPr>
          <w:rStyle w:val="eop"/>
          <w:rFonts w:ascii="Calibri" w:hAnsi="Calibri" w:cs="Calibri"/>
          <w:color w:val="000000"/>
          <w:sz w:val="22"/>
          <w:szCs w:val="22"/>
        </w:rPr>
        <w:t> </w:t>
      </w:r>
    </w:p>
    <w:p w:rsidR="00C51967" w:rsidRDefault="00C51967" w:rsidP="00C51967">
      <w:pPr>
        <w:pStyle w:val="paragraph"/>
        <w:numPr>
          <w:ilvl w:val="0"/>
          <w:numId w:val="10"/>
        </w:numPr>
        <w:tabs>
          <w:tab w:val="clear" w:pos="720"/>
        </w:tabs>
        <w:spacing w:before="0" w:beforeAutospacing="0" w:after="0" w:afterAutospacing="0"/>
        <w:ind w:left="851" w:hanging="425"/>
        <w:jc w:val="both"/>
        <w:textAlignment w:val="baseline"/>
        <w:rPr>
          <w:rFonts w:ascii="Century Gothic" w:hAnsi="Century Gothic" w:cs="Segoe UI"/>
          <w:sz w:val="22"/>
          <w:szCs w:val="22"/>
        </w:rPr>
      </w:pPr>
      <w:r>
        <w:rPr>
          <w:rStyle w:val="normaltextrun"/>
          <w:rFonts w:ascii="Calibri" w:hAnsi="Calibri" w:cs="Calibri"/>
          <w:color w:val="000000"/>
          <w:sz w:val="22"/>
          <w:szCs w:val="22"/>
        </w:rPr>
        <w:t>Weitere Informationen erhalten Sie unter: https://www.bfbn.de/berufliche-oberschule/abschluesse/informationen-2-fremdsprache/ </w:t>
      </w:r>
      <w:r>
        <w:rPr>
          <w:rStyle w:val="eop"/>
          <w:rFonts w:ascii="Calibri" w:hAnsi="Calibri" w:cs="Calibri"/>
          <w:color w:val="000000"/>
          <w:sz w:val="22"/>
          <w:szCs w:val="22"/>
        </w:rPr>
        <w:t> </w:t>
      </w:r>
    </w:p>
    <w:p w:rsidR="00F84494" w:rsidRPr="00C51967" w:rsidRDefault="00C51967" w:rsidP="00C51967">
      <w:pPr>
        <w:ind w:left="426" w:hanging="426"/>
      </w:pPr>
      <w:bookmarkStart w:id="0" w:name="_GoBack"/>
      <w:bookmarkEnd w:id="0"/>
    </w:p>
    <w:sectPr w:rsidR="00F84494" w:rsidRPr="00C5196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4F79"/>
    <w:multiLevelType w:val="multilevel"/>
    <w:tmpl w:val="43CE9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45434E"/>
    <w:multiLevelType w:val="multilevel"/>
    <w:tmpl w:val="9EE0A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1C5153"/>
    <w:multiLevelType w:val="multilevel"/>
    <w:tmpl w:val="4364D3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A3B06C5"/>
    <w:multiLevelType w:val="multilevel"/>
    <w:tmpl w:val="A97A1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0F23C8"/>
    <w:multiLevelType w:val="multilevel"/>
    <w:tmpl w:val="E4DC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6671EE"/>
    <w:multiLevelType w:val="multilevel"/>
    <w:tmpl w:val="05AA9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723C88"/>
    <w:multiLevelType w:val="multilevel"/>
    <w:tmpl w:val="F88835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46A562BE"/>
    <w:multiLevelType w:val="multilevel"/>
    <w:tmpl w:val="B04A7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691FC4"/>
    <w:multiLevelType w:val="multilevel"/>
    <w:tmpl w:val="CD26C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A7E4E2D"/>
    <w:multiLevelType w:val="multilevel"/>
    <w:tmpl w:val="958C8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3"/>
  </w:num>
  <w:num w:numId="3">
    <w:abstractNumId w:val="7"/>
  </w:num>
  <w:num w:numId="4">
    <w:abstractNumId w:val="9"/>
  </w:num>
  <w:num w:numId="5">
    <w:abstractNumId w:val="5"/>
  </w:num>
  <w:num w:numId="6">
    <w:abstractNumId w:val="1"/>
  </w:num>
  <w:num w:numId="7">
    <w:abstractNumId w:val="4"/>
  </w:num>
  <w:num w:numId="8">
    <w:abstractNumId w:val="0"/>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967"/>
    <w:rsid w:val="003239FA"/>
    <w:rsid w:val="00826295"/>
    <w:rsid w:val="00C519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4550D"/>
  <w15:chartTrackingRefBased/>
  <w15:docId w15:val="{D9F1E23D-9060-4E24-B37E-BCB01BCB7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51967"/>
    <w:rPr>
      <w:color w:val="0000FF"/>
      <w:u w:val="single"/>
    </w:rPr>
  </w:style>
  <w:style w:type="paragraph" w:customStyle="1" w:styleId="paragraph">
    <w:name w:val="paragraph"/>
    <w:basedOn w:val="Standard"/>
    <w:rsid w:val="00C5196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C51967"/>
  </w:style>
  <w:style w:type="character" w:customStyle="1" w:styleId="eop">
    <w:name w:val="eop"/>
    <w:basedOn w:val="Absatz-Standardschriftart"/>
    <w:rsid w:val="00C51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536675">
      <w:bodyDiv w:val="1"/>
      <w:marLeft w:val="0"/>
      <w:marRight w:val="0"/>
      <w:marTop w:val="0"/>
      <w:marBottom w:val="0"/>
      <w:divBdr>
        <w:top w:val="none" w:sz="0" w:space="0" w:color="auto"/>
        <w:left w:val="none" w:sz="0" w:space="0" w:color="auto"/>
        <w:bottom w:val="none" w:sz="0" w:space="0" w:color="auto"/>
        <w:right w:val="none" w:sz="0" w:space="0" w:color="auto"/>
      </w:divBdr>
      <w:divsChild>
        <w:div w:id="202400083">
          <w:marLeft w:val="0"/>
          <w:marRight w:val="0"/>
          <w:marTop w:val="0"/>
          <w:marBottom w:val="0"/>
          <w:divBdr>
            <w:top w:val="none" w:sz="0" w:space="0" w:color="auto"/>
            <w:left w:val="none" w:sz="0" w:space="0" w:color="auto"/>
            <w:bottom w:val="none" w:sz="0" w:space="0" w:color="auto"/>
            <w:right w:val="none" w:sz="0" w:space="0" w:color="auto"/>
          </w:divBdr>
          <w:divsChild>
            <w:div w:id="1734808906">
              <w:marLeft w:val="0"/>
              <w:marRight w:val="0"/>
              <w:marTop w:val="0"/>
              <w:marBottom w:val="0"/>
              <w:divBdr>
                <w:top w:val="none" w:sz="0" w:space="0" w:color="auto"/>
                <w:left w:val="none" w:sz="0" w:space="0" w:color="auto"/>
                <w:bottom w:val="none" w:sz="0" w:space="0" w:color="auto"/>
                <w:right w:val="none" w:sz="0" w:space="0" w:color="auto"/>
              </w:divBdr>
            </w:div>
            <w:div w:id="1486317984">
              <w:marLeft w:val="0"/>
              <w:marRight w:val="0"/>
              <w:marTop w:val="0"/>
              <w:marBottom w:val="0"/>
              <w:divBdr>
                <w:top w:val="none" w:sz="0" w:space="0" w:color="auto"/>
                <w:left w:val="none" w:sz="0" w:space="0" w:color="auto"/>
                <w:bottom w:val="none" w:sz="0" w:space="0" w:color="auto"/>
                <w:right w:val="none" w:sz="0" w:space="0" w:color="auto"/>
              </w:divBdr>
            </w:div>
            <w:div w:id="1432166235">
              <w:marLeft w:val="0"/>
              <w:marRight w:val="0"/>
              <w:marTop w:val="0"/>
              <w:marBottom w:val="0"/>
              <w:divBdr>
                <w:top w:val="none" w:sz="0" w:space="0" w:color="auto"/>
                <w:left w:val="none" w:sz="0" w:space="0" w:color="auto"/>
                <w:bottom w:val="none" w:sz="0" w:space="0" w:color="auto"/>
                <w:right w:val="none" w:sz="0" w:space="0" w:color="auto"/>
              </w:divBdr>
            </w:div>
            <w:div w:id="1750929206">
              <w:marLeft w:val="0"/>
              <w:marRight w:val="0"/>
              <w:marTop w:val="0"/>
              <w:marBottom w:val="0"/>
              <w:divBdr>
                <w:top w:val="none" w:sz="0" w:space="0" w:color="auto"/>
                <w:left w:val="none" w:sz="0" w:space="0" w:color="auto"/>
                <w:bottom w:val="none" w:sz="0" w:space="0" w:color="auto"/>
                <w:right w:val="none" w:sz="0" w:space="0" w:color="auto"/>
              </w:divBdr>
            </w:div>
            <w:div w:id="863324789">
              <w:marLeft w:val="0"/>
              <w:marRight w:val="0"/>
              <w:marTop w:val="0"/>
              <w:marBottom w:val="0"/>
              <w:divBdr>
                <w:top w:val="none" w:sz="0" w:space="0" w:color="auto"/>
                <w:left w:val="none" w:sz="0" w:space="0" w:color="auto"/>
                <w:bottom w:val="none" w:sz="0" w:space="0" w:color="auto"/>
                <w:right w:val="none" w:sz="0" w:space="0" w:color="auto"/>
              </w:divBdr>
            </w:div>
          </w:divsChild>
        </w:div>
        <w:div w:id="885071926">
          <w:marLeft w:val="0"/>
          <w:marRight w:val="0"/>
          <w:marTop w:val="0"/>
          <w:marBottom w:val="0"/>
          <w:divBdr>
            <w:top w:val="none" w:sz="0" w:space="0" w:color="auto"/>
            <w:left w:val="none" w:sz="0" w:space="0" w:color="auto"/>
            <w:bottom w:val="none" w:sz="0" w:space="0" w:color="auto"/>
            <w:right w:val="none" w:sz="0" w:space="0" w:color="auto"/>
          </w:divBdr>
          <w:divsChild>
            <w:div w:id="1551726275">
              <w:marLeft w:val="0"/>
              <w:marRight w:val="0"/>
              <w:marTop w:val="0"/>
              <w:marBottom w:val="0"/>
              <w:divBdr>
                <w:top w:val="none" w:sz="0" w:space="0" w:color="auto"/>
                <w:left w:val="none" w:sz="0" w:space="0" w:color="auto"/>
                <w:bottom w:val="none" w:sz="0" w:space="0" w:color="auto"/>
                <w:right w:val="none" w:sz="0" w:space="0" w:color="auto"/>
              </w:divBdr>
            </w:div>
            <w:div w:id="2113698489">
              <w:marLeft w:val="0"/>
              <w:marRight w:val="0"/>
              <w:marTop w:val="0"/>
              <w:marBottom w:val="0"/>
              <w:divBdr>
                <w:top w:val="none" w:sz="0" w:space="0" w:color="auto"/>
                <w:left w:val="none" w:sz="0" w:space="0" w:color="auto"/>
                <w:bottom w:val="none" w:sz="0" w:space="0" w:color="auto"/>
                <w:right w:val="none" w:sz="0" w:space="0" w:color="auto"/>
              </w:divBdr>
            </w:div>
            <w:div w:id="751318476">
              <w:marLeft w:val="0"/>
              <w:marRight w:val="0"/>
              <w:marTop w:val="0"/>
              <w:marBottom w:val="0"/>
              <w:divBdr>
                <w:top w:val="none" w:sz="0" w:space="0" w:color="auto"/>
                <w:left w:val="none" w:sz="0" w:space="0" w:color="auto"/>
                <w:bottom w:val="none" w:sz="0" w:space="0" w:color="auto"/>
                <w:right w:val="none" w:sz="0" w:space="0" w:color="auto"/>
              </w:divBdr>
            </w:div>
            <w:div w:id="1872181971">
              <w:marLeft w:val="0"/>
              <w:marRight w:val="0"/>
              <w:marTop w:val="0"/>
              <w:marBottom w:val="0"/>
              <w:divBdr>
                <w:top w:val="none" w:sz="0" w:space="0" w:color="auto"/>
                <w:left w:val="none" w:sz="0" w:space="0" w:color="auto"/>
                <w:bottom w:val="none" w:sz="0" w:space="0" w:color="auto"/>
                <w:right w:val="none" w:sz="0" w:space="0" w:color="auto"/>
              </w:divBdr>
            </w:div>
            <w:div w:id="1235164590">
              <w:marLeft w:val="0"/>
              <w:marRight w:val="0"/>
              <w:marTop w:val="0"/>
              <w:marBottom w:val="0"/>
              <w:divBdr>
                <w:top w:val="none" w:sz="0" w:space="0" w:color="auto"/>
                <w:left w:val="none" w:sz="0" w:space="0" w:color="auto"/>
                <w:bottom w:val="none" w:sz="0" w:space="0" w:color="auto"/>
                <w:right w:val="none" w:sz="0" w:space="0" w:color="auto"/>
              </w:divBdr>
            </w:div>
          </w:divsChild>
        </w:div>
        <w:div w:id="803542733">
          <w:marLeft w:val="0"/>
          <w:marRight w:val="0"/>
          <w:marTop w:val="0"/>
          <w:marBottom w:val="0"/>
          <w:divBdr>
            <w:top w:val="none" w:sz="0" w:space="0" w:color="auto"/>
            <w:left w:val="none" w:sz="0" w:space="0" w:color="auto"/>
            <w:bottom w:val="none" w:sz="0" w:space="0" w:color="auto"/>
            <w:right w:val="none" w:sz="0" w:space="0" w:color="auto"/>
          </w:divBdr>
          <w:divsChild>
            <w:div w:id="1209411157">
              <w:marLeft w:val="0"/>
              <w:marRight w:val="0"/>
              <w:marTop w:val="0"/>
              <w:marBottom w:val="0"/>
              <w:divBdr>
                <w:top w:val="none" w:sz="0" w:space="0" w:color="auto"/>
                <w:left w:val="none" w:sz="0" w:space="0" w:color="auto"/>
                <w:bottom w:val="none" w:sz="0" w:space="0" w:color="auto"/>
                <w:right w:val="none" w:sz="0" w:space="0" w:color="auto"/>
              </w:divBdr>
            </w:div>
            <w:div w:id="276986892">
              <w:marLeft w:val="0"/>
              <w:marRight w:val="0"/>
              <w:marTop w:val="0"/>
              <w:marBottom w:val="0"/>
              <w:divBdr>
                <w:top w:val="none" w:sz="0" w:space="0" w:color="auto"/>
                <w:left w:val="none" w:sz="0" w:space="0" w:color="auto"/>
                <w:bottom w:val="none" w:sz="0" w:space="0" w:color="auto"/>
                <w:right w:val="none" w:sz="0" w:space="0" w:color="auto"/>
              </w:divBdr>
            </w:div>
            <w:div w:id="1998722944">
              <w:marLeft w:val="0"/>
              <w:marRight w:val="0"/>
              <w:marTop w:val="0"/>
              <w:marBottom w:val="0"/>
              <w:divBdr>
                <w:top w:val="none" w:sz="0" w:space="0" w:color="auto"/>
                <w:left w:val="none" w:sz="0" w:space="0" w:color="auto"/>
                <w:bottom w:val="none" w:sz="0" w:space="0" w:color="auto"/>
                <w:right w:val="none" w:sz="0" w:space="0" w:color="auto"/>
              </w:divBdr>
            </w:div>
            <w:div w:id="344284221">
              <w:marLeft w:val="0"/>
              <w:marRight w:val="0"/>
              <w:marTop w:val="0"/>
              <w:marBottom w:val="0"/>
              <w:divBdr>
                <w:top w:val="none" w:sz="0" w:space="0" w:color="auto"/>
                <w:left w:val="none" w:sz="0" w:space="0" w:color="auto"/>
                <w:bottom w:val="none" w:sz="0" w:space="0" w:color="auto"/>
                <w:right w:val="none" w:sz="0" w:space="0" w:color="auto"/>
              </w:divBdr>
            </w:div>
            <w:div w:id="572158515">
              <w:marLeft w:val="0"/>
              <w:marRight w:val="0"/>
              <w:marTop w:val="0"/>
              <w:marBottom w:val="0"/>
              <w:divBdr>
                <w:top w:val="none" w:sz="0" w:space="0" w:color="auto"/>
                <w:left w:val="none" w:sz="0" w:space="0" w:color="auto"/>
                <w:bottom w:val="none" w:sz="0" w:space="0" w:color="auto"/>
                <w:right w:val="none" w:sz="0" w:space="0" w:color="auto"/>
              </w:divBdr>
            </w:div>
          </w:divsChild>
        </w:div>
        <w:div w:id="473257454">
          <w:marLeft w:val="0"/>
          <w:marRight w:val="0"/>
          <w:marTop w:val="0"/>
          <w:marBottom w:val="0"/>
          <w:divBdr>
            <w:top w:val="none" w:sz="0" w:space="0" w:color="auto"/>
            <w:left w:val="none" w:sz="0" w:space="0" w:color="auto"/>
            <w:bottom w:val="none" w:sz="0" w:space="0" w:color="auto"/>
            <w:right w:val="none" w:sz="0" w:space="0" w:color="auto"/>
          </w:divBdr>
          <w:divsChild>
            <w:div w:id="961568591">
              <w:marLeft w:val="0"/>
              <w:marRight w:val="0"/>
              <w:marTop w:val="0"/>
              <w:marBottom w:val="0"/>
              <w:divBdr>
                <w:top w:val="none" w:sz="0" w:space="0" w:color="auto"/>
                <w:left w:val="none" w:sz="0" w:space="0" w:color="auto"/>
                <w:bottom w:val="none" w:sz="0" w:space="0" w:color="auto"/>
                <w:right w:val="none" w:sz="0" w:space="0" w:color="auto"/>
              </w:divBdr>
            </w:div>
            <w:div w:id="2081247855">
              <w:marLeft w:val="0"/>
              <w:marRight w:val="0"/>
              <w:marTop w:val="0"/>
              <w:marBottom w:val="0"/>
              <w:divBdr>
                <w:top w:val="none" w:sz="0" w:space="0" w:color="auto"/>
                <w:left w:val="none" w:sz="0" w:space="0" w:color="auto"/>
                <w:bottom w:val="none" w:sz="0" w:space="0" w:color="auto"/>
                <w:right w:val="none" w:sz="0" w:space="0" w:color="auto"/>
              </w:divBdr>
            </w:div>
            <w:div w:id="1725788238">
              <w:marLeft w:val="0"/>
              <w:marRight w:val="0"/>
              <w:marTop w:val="0"/>
              <w:marBottom w:val="0"/>
              <w:divBdr>
                <w:top w:val="none" w:sz="0" w:space="0" w:color="auto"/>
                <w:left w:val="none" w:sz="0" w:space="0" w:color="auto"/>
                <w:bottom w:val="none" w:sz="0" w:space="0" w:color="auto"/>
                <w:right w:val="none" w:sz="0" w:space="0" w:color="auto"/>
              </w:divBdr>
            </w:div>
          </w:divsChild>
        </w:div>
        <w:div w:id="840850610">
          <w:marLeft w:val="0"/>
          <w:marRight w:val="0"/>
          <w:marTop w:val="0"/>
          <w:marBottom w:val="0"/>
          <w:divBdr>
            <w:top w:val="none" w:sz="0" w:space="0" w:color="auto"/>
            <w:left w:val="none" w:sz="0" w:space="0" w:color="auto"/>
            <w:bottom w:val="none" w:sz="0" w:space="0" w:color="auto"/>
            <w:right w:val="none" w:sz="0" w:space="0" w:color="auto"/>
          </w:divBdr>
          <w:divsChild>
            <w:div w:id="5305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9BEC9BA376BD4CBE0E30DC43F61A6B" ma:contentTypeVersion="10" ma:contentTypeDescription="Ein neues Dokument erstellen." ma:contentTypeScope="" ma:versionID="8ae45548ead1bbcf29b76a7d97b669c3">
  <xsd:schema xmlns:xsd="http://www.w3.org/2001/XMLSchema" xmlns:xs="http://www.w3.org/2001/XMLSchema" xmlns:p="http://schemas.microsoft.com/office/2006/metadata/properties" xmlns:ns2="efd79229-0863-43d4-8cdf-896af8d9a9d6" xmlns:ns3="c7f84f71-3522-4ea4-90e5-2cd1565b855f" targetNamespace="http://schemas.microsoft.com/office/2006/metadata/properties" ma:root="true" ma:fieldsID="a4dd4291f2516ac4d1463f66ee085a17" ns2:_="" ns3:_="">
    <xsd:import namespace="efd79229-0863-43d4-8cdf-896af8d9a9d6"/>
    <xsd:import namespace="c7f84f71-3522-4ea4-90e5-2cd1565b85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d79229-0863-43d4-8cdf-896af8d9a9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f84f71-3522-4ea4-90e5-2cd1565b855f"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B5A3F1-E8DD-43D1-A848-C966BE8FB0E8}"/>
</file>

<file path=customXml/itemProps2.xml><?xml version="1.0" encoding="utf-8"?>
<ds:datastoreItem xmlns:ds="http://schemas.openxmlformats.org/officeDocument/2006/customXml" ds:itemID="{CF8B4F94-D332-4243-9039-B9BB72B39F1F}"/>
</file>

<file path=customXml/itemProps3.xml><?xml version="1.0" encoding="utf-8"?>
<ds:datastoreItem xmlns:ds="http://schemas.openxmlformats.org/officeDocument/2006/customXml" ds:itemID="{A19683A6-E556-453C-8628-E40C4A8ABD70}"/>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2050</Characters>
  <Application>Microsoft Office Word</Application>
  <DocSecurity>0</DocSecurity>
  <Lines>17</Lines>
  <Paragraphs>4</Paragraphs>
  <ScaleCrop>false</ScaleCrop>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Vogel</dc:creator>
  <cp:keywords/>
  <dc:description/>
  <cp:lastModifiedBy>Andrea Vogel</cp:lastModifiedBy>
  <cp:revision>1</cp:revision>
  <dcterms:created xsi:type="dcterms:W3CDTF">2021-07-19T12:26:00Z</dcterms:created>
  <dcterms:modified xsi:type="dcterms:W3CDTF">2021-07-19T12:34:00Z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0x010100749BEC9BA376BD4CBE0E30DC43F61A6B</vt:lpwstr>
  </property>
</Properties>
</file>